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0288" w14:textId="77777777" w:rsidR="002F344B" w:rsidRDefault="00494D8C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Upleťte si pomlázku v táborské zoo nebo hledejte velikonoční vejce</w:t>
      </w:r>
    </w:p>
    <w:p w14:paraId="508A1397" w14:textId="4166188D" w:rsidR="00715A0A" w:rsidRDefault="00B27891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849D0">
        <w:rPr>
          <w:rFonts w:asciiTheme="minorHAnsi" w:hAnsiTheme="minorHAnsi" w:cstheme="minorHAnsi"/>
        </w:rPr>
        <w:t>1</w:t>
      </w:r>
      <w:r w:rsidR="00990432">
        <w:rPr>
          <w:rFonts w:asciiTheme="minorHAnsi" w:hAnsiTheme="minorHAnsi" w:cstheme="minorHAnsi"/>
        </w:rPr>
        <w:t xml:space="preserve">. </w:t>
      </w:r>
      <w:r w:rsidR="00715A0A">
        <w:rPr>
          <w:rFonts w:asciiTheme="minorHAnsi" w:hAnsiTheme="minorHAnsi" w:cstheme="minorHAnsi"/>
        </w:rPr>
        <w:t>3</w:t>
      </w:r>
      <w:r w:rsidR="0099043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 w:rsidR="00494D8C">
        <w:rPr>
          <w:rFonts w:asciiTheme="minorHAnsi" w:hAnsiTheme="minorHAnsi" w:cstheme="minorHAnsi"/>
        </w:rPr>
        <w:t xml:space="preserve">Vyplácení dívek a žen pomlázkou patří k českým velikonočním tradicím, které u nás stále přetrvávají. Traduje se, že vyšleháním spleteným vrbovým proutím se předává zdraví a svěžest. Aby to fungovalo, musí být pomlázka nová a vlastnoručně spletená. Ne každý to však umí a právě ti se mohou od pátku </w:t>
      </w:r>
      <w:r>
        <w:rPr>
          <w:rFonts w:asciiTheme="minorHAnsi" w:hAnsiTheme="minorHAnsi" w:cstheme="minorHAnsi"/>
        </w:rPr>
        <w:t>3</w:t>
      </w:r>
      <w:r w:rsidR="00494D8C">
        <w:rPr>
          <w:rFonts w:asciiTheme="minorHAnsi" w:hAnsiTheme="minorHAnsi" w:cstheme="minorHAnsi"/>
        </w:rPr>
        <w:t xml:space="preserve">. do neděle </w:t>
      </w:r>
      <w:r>
        <w:rPr>
          <w:rFonts w:asciiTheme="minorHAnsi" w:hAnsiTheme="minorHAnsi" w:cstheme="minorHAnsi"/>
        </w:rPr>
        <w:t>5</w:t>
      </w:r>
      <w:r w:rsidR="00494D8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dubna</w:t>
      </w:r>
      <w:r w:rsidR="00494D8C">
        <w:rPr>
          <w:rFonts w:asciiTheme="minorHAnsi" w:hAnsiTheme="minorHAnsi" w:cstheme="minorHAnsi"/>
        </w:rPr>
        <w:t xml:space="preserve"> dostavit do táborské zoologické zahrady. Tam si pod odborným dohledem upletou vlastní pomlázku. Děti si mohou najít velikonoční vajíčko nebo si ozvláštnit návštěvu zábavným kvízem.</w:t>
      </w:r>
    </w:p>
    <w:p w14:paraId="5C1E6F2E" w14:textId="0BEDF31B" w:rsidR="00990432" w:rsidRDefault="00B27891" w:rsidP="00434492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5A0CC53" wp14:editId="72824DC2">
            <wp:extent cx="5838825" cy="3895725"/>
            <wp:effectExtent l="0" t="0" r="9525" b="9525"/>
            <wp:docPr id="49823643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240F" w14:textId="77777777" w:rsidR="00170195" w:rsidRDefault="00BB2788" w:rsidP="00170195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="00494D8C">
        <w:rPr>
          <w:rFonts w:asciiTheme="minorHAnsi" w:hAnsiTheme="minorHAnsi" w:cstheme="minorHAnsi"/>
          <w:i/>
          <w:szCs w:val="24"/>
        </w:rPr>
        <w:t xml:space="preserve">Velikonoce jsou nejdůležitějšími křesťanskými </w:t>
      </w:r>
      <w:r w:rsidR="00B214DC">
        <w:rPr>
          <w:rFonts w:asciiTheme="minorHAnsi" w:hAnsiTheme="minorHAnsi" w:cstheme="minorHAnsi"/>
          <w:i/>
          <w:szCs w:val="24"/>
        </w:rPr>
        <w:t>svátky, během nichž si celý svět připomíná Ježíšovo ukřižování a následné zmrtvýchvstání. Zároveň jde o oslavu jara, kdy se postupně probouzí celá příroda. Příchod nového života nesymbolizují jen první jarní květiny, ale také mláďata, která se začínají rodit. A kde nejlépe oslavit velikonoční dny než v zoologické zahradě na čerstvém vzduchu uprostřed zvířat. Tím spíše, když vás v ní čekají speciální sváteční akce</w:t>
      </w:r>
      <w:r>
        <w:rPr>
          <w:rFonts w:asciiTheme="minorHAnsi" w:hAnsiTheme="minorHAnsi" w:cstheme="minorHAnsi"/>
          <w:szCs w:val="24"/>
        </w:rPr>
        <w:t>,</w:t>
      </w:r>
      <w:r w:rsidR="00170195">
        <w:rPr>
          <w:rFonts w:asciiTheme="minorHAnsi" w:hAnsiTheme="minorHAnsi" w:cstheme="minorHAnsi"/>
          <w:szCs w:val="24"/>
        </w:rPr>
        <w:t xml:space="preserve">“ říká </w:t>
      </w:r>
      <w:r w:rsidR="00494D8C">
        <w:rPr>
          <w:rFonts w:asciiTheme="minorHAnsi" w:hAnsiTheme="minorHAnsi" w:cstheme="minorHAnsi"/>
          <w:szCs w:val="24"/>
        </w:rPr>
        <w:t>mluvčí</w:t>
      </w:r>
      <w:r w:rsidR="00170195">
        <w:rPr>
          <w:rFonts w:asciiTheme="minorHAnsi" w:hAnsiTheme="minorHAnsi" w:cstheme="minorHAnsi"/>
          <w:szCs w:val="24"/>
        </w:rPr>
        <w:t xml:space="preserve"> </w:t>
      </w:r>
      <w:r w:rsidR="00170195" w:rsidRPr="00486E82">
        <w:rPr>
          <w:rFonts w:asciiTheme="minorHAnsi" w:hAnsiTheme="minorHAnsi" w:cstheme="minorHAnsi"/>
          <w:b/>
          <w:szCs w:val="24"/>
        </w:rPr>
        <w:t>ZOO Tábor</w:t>
      </w:r>
      <w:r w:rsidR="00170195">
        <w:rPr>
          <w:rFonts w:asciiTheme="minorHAnsi" w:hAnsiTheme="minorHAnsi" w:cstheme="minorHAnsi"/>
          <w:szCs w:val="24"/>
        </w:rPr>
        <w:t xml:space="preserve"> </w:t>
      </w:r>
      <w:r w:rsidR="00494D8C">
        <w:rPr>
          <w:rFonts w:asciiTheme="minorHAnsi" w:hAnsiTheme="minorHAnsi" w:cstheme="minorHAnsi"/>
          <w:szCs w:val="24"/>
        </w:rPr>
        <w:t>Filip Sušanka</w:t>
      </w:r>
      <w:r w:rsidR="00170195">
        <w:rPr>
          <w:rFonts w:asciiTheme="minorHAnsi" w:hAnsiTheme="minorHAnsi" w:cstheme="minorHAnsi"/>
          <w:szCs w:val="24"/>
        </w:rPr>
        <w:t>.</w:t>
      </w:r>
    </w:p>
    <w:p w14:paraId="7F201FF3" w14:textId="12716399" w:rsidR="00B214DC" w:rsidRDefault="00B214DC" w:rsidP="00170195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Táborská zoologická zahrada bude tento týden otevřená už od </w:t>
      </w:r>
      <w:r w:rsidR="00B27891">
        <w:rPr>
          <w:rFonts w:asciiTheme="minorHAnsi" w:hAnsiTheme="minorHAnsi" w:cstheme="minorHAnsi"/>
          <w:szCs w:val="24"/>
        </w:rPr>
        <w:t>středy</w:t>
      </w:r>
      <w:r>
        <w:rPr>
          <w:rFonts w:asciiTheme="minorHAnsi" w:hAnsiTheme="minorHAnsi" w:cstheme="minorHAnsi"/>
          <w:szCs w:val="24"/>
        </w:rPr>
        <w:t xml:space="preserve">, hlavní velikonoční program vypukne o </w:t>
      </w:r>
      <w:r w:rsidR="00B27891">
        <w:rPr>
          <w:rFonts w:asciiTheme="minorHAnsi" w:hAnsiTheme="minorHAnsi" w:cstheme="minorHAnsi"/>
          <w:szCs w:val="24"/>
        </w:rPr>
        <w:t>dva dny</w:t>
      </w:r>
      <w:r>
        <w:rPr>
          <w:rFonts w:asciiTheme="minorHAnsi" w:hAnsiTheme="minorHAnsi" w:cstheme="minorHAnsi"/>
          <w:szCs w:val="24"/>
        </w:rPr>
        <w:t xml:space="preserve"> později. „</w:t>
      </w:r>
      <w:r w:rsidRPr="00B214DC">
        <w:rPr>
          <w:rFonts w:asciiTheme="minorHAnsi" w:hAnsiTheme="minorHAnsi" w:cstheme="minorHAnsi"/>
          <w:i/>
          <w:szCs w:val="24"/>
        </w:rPr>
        <w:t xml:space="preserve">Děti si u nás mohou najít velikonoční vajíčka, která se nám rozkutálela po celém rozhlehlém areálu. Chybět nebudou ani oblíbená komentovaná krmení a ani už tradiční pletení velikonočních pomlázek. I letos si návštěvníci mohou vyzkoušet </w:t>
      </w:r>
      <w:r w:rsidRPr="00B214DC">
        <w:rPr>
          <w:rFonts w:asciiTheme="minorHAnsi" w:hAnsiTheme="minorHAnsi" w:cstheme="minorHAnsi"/>
          <w:i/>
          <w:szCs w:val="24"/>
        </w:rPr>
        <w:lastRenderedPageBreak/>
        <w:t>svou zručnost a zkusit si uplést vlastní pomlázku. Pod vedením našich zkušených ošetřovatelů to zvládne úplně každý</w:t>
      </w:r>
      <w:r>
        <w:rPr>
          <w:rFonts w:asciiTheme="minorHAnsi" w:hAnsiTheme="minorHAnsi" w:cstheme="minorHAnsi"/>
          <w:szCs w:val="24"/>
        </w:rPr>
        <w:t>,“ dodává mluvčí zoo Sušanka.</w:t>
      </w:r>
    </w:p>
    <w:p w14:paraId="0E769894" w14:textId="32C55804" w:rsidR="00B214DC" w:rsidRDefault="00B214DC" w:rsidP="00170195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Další novinkou pro návštěvníky je výrazné rozšíření otevírací doby od </w:t>
      </w:r>
      <w:r w:rsidR="00B27891">
        <w:rPr>
          <w:rFonts w:asciiTheme="minorHAnsi" w:hAnsiTheme="minorHAnsi" w:cstheme="minorHAnsi"/>
          <w:szCs w:val="24"/>
        </w:rPr>
        <w:t>tohoto</w:t>
      </w:r>
      <w:r>
        <w:rPr>
          <w:rFonts w:asciiTheme="minorHAnsi" w:hAnsiTheme="minorHAnsi" w:cstheme="minorHAnsi"/>
          <w:szCs w:val="24"/>
        </w:rPr>
        <w:t xml:space="preserve"> týdne. „</w:t>
      </w:r>
      <w:r w:rsidRPr="00C20E6C">
        <w:rPr>
          <w:rFonts w:asciiTheme="minorHAnsi" w:hAnsiTheme="minorHAnsi" w:cstheme="minorHAnsi"/>
          <w:i/>
          <w:szCs w:val="24"/>
        </w:rPr>
        <w:t xml:space="preserve">Už </w:t>
      </w:r>
      <w:r w:rsidR="00B27891">
        <w:rPr>
          <w:rFonts w:asciiTheme="minorHAnsi" w:hAnsiTheme="minorHAnsi" w:cstheme="minorHAnsi"/>
          <w:i/>
          <w:szCs w:val="24"/>
        </w:rPr>
        <w:t>v</w:t>
      </w:r>
      <w:r w:rsidR="006849D0">
        <w:rPr>
          <w:rFonts w:asciiTheme="minorHAnsi" w:hAnsiTheme="minorHAnsi" w:cstheme="minorHAnsi"/>
          <w:i/>
          <w:szCs w:val="24"/>
        </w:rPr>
        <w:t xml:space="preserve">e středu </w:t>
      </w:r>
      <w:r w:rsidRPr="00C20E6C">
        <w:rPr>
          <w:rFonts w:asciiTheme="minorHAnsi" w:hAnsiTheme="minorHAnsi" w:cstheme="minorHAnsi"/>
          <w:i/>
          <w:szCs w:val="24"/>
        </w:rPr>
        <w:t>1. dubna začne jarní sezóna a rozhodně to není žádný apríl. Pro návštěvníky budeme mít opět otevřeno každý den, navíc prodloužíme otevírací dobu o jednu hodinu až do páté hodiny odpolední</w:t>
      </w:r>
      <w:r w:rsidR="00C20E6C" w:rsidRPr="00C20E6C">
        <w:rPr>
          <w:rFonts w:asciiTheme="minorHAnsi" w:hAnsiTheme="minorHAnsi" w:cstheme="minorHAnsi"/>
          <w:i/>
          <w:szCs w:val="24"/>
        </w:rPr>
        <w:t>. Už nebudete muset čekat až na víkend, abyste navštívili naše oblíbená zvířata. Budete se k nim moct vracet klidně každý den</w:t>
      </w:r>
      <w:r w:rsidR="00C20E6C">
        <w:rPr>
          <w:rFonts w:asciiTheme="minorHAnsi" w:hAnsiTheme="minorHAnsi" w:cstheme="minorHAnsi"/>
          <w:szCs w:val="24"/>
        </w:rPr>
        <w:t>,“ doplňuje mluvčí Sušanka.</w:t>
      </w:r>
    </w:p>
    <w:p w14:paraId="76C81D6F" w14:textId="77777777" w:rsidR="009E0870" w:rsidRDefault="009E0870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761E29F3" w14:textId="77777777" w:rsidR="00DA254F" w:rsidRDefault="00DA254F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0E5EC6C3" w14:textId="77777777" w:rsidR="00B27891" w:rsidRDefault="00B27891" w:rsidP="00B27891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64FBD5E5" w14:textId="77777777" w:rsidR="00B27891" w:rsidRDefault="00B27891" w:rsidP="00B27891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0257ACB6" w14:textId="77777777" w:rsidR="006D56AD" w:rsidRDefault="006D56AD" w:rsidP="003E77C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78896854" w14:textId="77777777"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14:paraId="4A7450C9" w14:textId="77777777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6B4BF992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5CB24BFA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3F198C10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521F1E46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0ED942D1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9D4E" w14:textId="77777777" w:rsidR="004C505A" w:rsidRDefault="004C505A">
      <w:r>
        <w:separator/>
      </w:r>
    </w:p>
  </w:endnote>
  <w:endnote w:type="continuationSeparator" w:id="0">
    <w:p w14:paraId="0D4D6C1A" w14:textId="77777777" w:rsidR="004C505A" w:rsidRDefault="004C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94B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44CC9B3A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097F0D" wp14:editId="435BF5DB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0CAD4A69" w14:textId="77777777" w:rsidTr="001B680E">
      <w:tc>
        <w:tcPr>
          <w:tcW w:w="5070" w:type="dxa"/>
        </w:tcPr>
        <w:p w14:paraId="786BD6C2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5C1AD6BF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6F0C5CA2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3B28" w14:textId="77777777" w:rsidR="004C505A" w:rsidRDefault="004C505A">
      <w:r>
        <w:separator/>
      </w:r>
    </w:p>
  </w:footnote>
  <w:footnote w:type="continuationSeparator" w:id="0">
    <w:p w14:paraId="690CC04B" w14:textId="77777777" w:rsidR="004C505A" w:rsidRDefault="004C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139ACA05" w14:textId="77777777" w:rsidTr="00A51237">
      <w:tc>
        <w:tcPr>
          <w:tcW w:w="5920" w:type="dxa"/>
        </w:tcPr>
        <w:p w14:paraId="0EE4E8B2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010F962" wp14:editId="663BFFA3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26CB04A8" wp14:editId="557E5ED9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EBFAC8F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1A4BD71F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6A888CC3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138D0024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234B1CC0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3444D43F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11537">
    <w:abstractNumId w:val="4"/>
  </w:num>
  <w:num w:numId="2" w16cid:durableId="2128965687">
    <w:abstractNumId w:val="2"/>
  </w:num>
  <w:num w:numId="3" w16cid:durableId="1246721875">
    <w:abstractNumId w:val="0"/>
  </w:num>
  <w:num w:numId="4" w16cid:durableId="739206454">
    <w:abstractNumId w:val="1"/>
  </w:num>
  <w:num w:numId="5" w16cid:durableId="817915955">
    <w:abstractNumId w:val="3"/>
  </w:num>
  <w:num w:numId="6" w16cid:durableId="298800350">
    <w:abstractNumId w:val="5"/>
  </w:num>
  <w:num w:numId="7" w16cid:durableId="153133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79F7"/>
    <w:rsid w:val="000B0FA8"/>
    <w:rsid w:val="000B15C6"/>
    <w:rsid w:val="000B52AB"/>
    <w:rsid w:val="000B55EC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05A"/>
    <w:rsid w:val="004C5E01"/>
    <w:rsid w:val="004C5E5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57E0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49D0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27891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6EB5"/>
    <w:rsid w:val="00F130C9"/>
    <w:rsid w:val="00F13270"/>
    <w:rsid w:val="00F135E8"/>
    <w:rsid w:val="00F14CF8"/>
    <w:rsid w:val="00F14D72"/>
    <w:rsid w:val="00F15582"/>
    <w:rsid w:val="00F159C7"/>
    <w:rsid w:val="00F23305"/>
    <w:rsid w:val="00F237B5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3C10"/>
    <w:rsid w:val="00FC331E"/>
    <w:rsid w:val="00FC49BF"/>
    <w:rsid w:val="00FC5B83"/>
    <w:rsid w:val="00FD129B"/>
    <w:rsid w:val="00FD5923"/>
    <w:rsid w:val="00FD5A09"/>
    <w:rsid w:val="00FE13EC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546E939F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AAE8-01D7-4BD7-9350-1F329EAB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95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3588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3</cp:revision>
  <cp:lastPrinted>2026-03-30T09:58:00Z</cp:lastPrinted>
  <dcterms:created xsi:type="dcterms:W3CDTF">2026-03-30T09:56:00Z</dcterms:created>
  <dcterms:modified xsi:type="dcterms:W3CDTF">2026-03-31T06:43:00Z</dcterms:modified>
</cp:coreProperties>
</file>